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pacing w:val="-3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34"/>
          <w:sz w:val="44"/>
          <w:szCs w:val="44"/>
        </w:rPr>
        <w:t>江苏省高校省级“三好学生”、“优秀学生干部”推荐表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9399" w:type="dxa"/>
        <w:jc w:val="center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 w:cs="Times New Roman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134" w:gutter="0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备注：学校填写意见应明确同意作为“省级三好学生”或“省级优秀学生干部”表彰。</w:t>
      </w:r>
    </w:p>
    <w:p/>
    <w:sectPr>
      <w:headerReference r:id="rId6" w:type="default"/>
      <w:footerReference r:id="rId7" w:type="default"/>
      <w:footerReference r:id="rId8" w:type="even"/>
      <w:pgSz w:w="11906" w:h="16838"/>
      <w:pgMar w:top="2098" w:right="1474" w:bottom="1985" w:left="1588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Style w:val="6"/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F"/>
    <w:rsid w:val="00153672"/>
    <w:rsid w:val="0045339B"/>
    <w:rsid w:val="009C3049"/>
    <w:rsid w:val="00D05D4F"/>
    <w:rsid w:val="348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2019-03-12T01:09:00Z</dcterms:created>
  <dc:creator>JSJYT User</dc:creator>
  <cp:lastModifiedBy>Administrator</cp:lastModifiedBy>
  <dcterms:modified xsi:type="dcterms:W3CDTF">2019-03-21T06:12:20Z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